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0"/>
        <w:tblBorders>
          <w:top w:val="none" w:color="FFFFFF" w:sz="0"/>
          <w:left w:val="none" w:color="FFFFFF" w:sz="0"/>
          <w:bottom w:val="none" w:color="FFFFFF" w:sz="0"/>
          <w:right w:val="none" w:color="FFFFFF" w:sz="0"/>
          <w:insideH w:val="single" w:color="auto" w:sz="4"/>
          <w:insideV w:val="single" w:color="auto" w:sz="4"/>
        </w:tblBorders>
      </w:tblPr>
      <w:tblGrid>
        <w:gridCol w:w="9740"/>
      </w:tblGrid>
      <w:tr>
        <w:tc>
          <w:tcPr>
            <w:tcW w:type="dxa" w:w="9740"/>
            <w:tcBorders>
              <w:top w:val="none" w:color="FFFFFF" w:sz="0"/>
              <w:left w:val="none" w:color="FFFFFF" w:sz="0"/>
              <w:bottom w:val="none" w:color="FFFFFF" w:sz="0"/>
              <w:right w:val="none" w:color="FFFFFF" w:sz="0"/>
            </w:tcBorders>
            <w:shd w:fill="17A055" w:val="clear"/>
            <w:tcMar>
              <w:top w:type="dxa" w:w="130"/>
              <w:left w:type="dxa" w:w="200"/>
              <w:bottom w:type="dxa" w:w="130"/>
              <w:right w:type="dxa" w:w="200"/>
            </w:tcMar>
            <w:vAlign w:val="center"/>
          </w:tcPr>
          <w:p>
            <w:r>
              <w:rPr>
                <w:b/>
                <w:bCs/>
                <w:color w:val="FFFFFF"/>
                <w:sz w:val="40"/>
                <w:szCs w:val="40"/>
              </w:rPr>
              <w:t xml:space="preserve">CEMENTITIOUS SL 2-20 NF</w:t>
            </w:r>
          </w:p>
        </w:tc>
      </w:tr>
    </w:tbl>
    <w:p>
      <w:pPr>
        <w:spacing w:after="80"/>
      </w:pPr>
    </w:p>
    <w:tbl>
      <w:tblPr>
        <w:tblW w:type="dxa" w:w="9740"/>
        <w:tblBorders>
          <w:top w:val="none" w:color="FFFFFF" w:sz="0"/>
          <w:left w:val="none" w:color="FFFFFF" w:sz="0"/>
          <w:bottom w:val="none" w:color="FFFFFF" w:sz="0"/>
          <w:right w:val="none" w:color="FFFFFF" w:sz="0"/>
          <w:insideH w:val="single" w:color="auto" w:sz="4"/>
          <w:insideV w:val="single" w:color="auto" w:sz="4"/>
        </w:tblBorders>
      </w:tblPr>
      <w:tblGrid>
        <w:gridCol w:w="6640"/>
        <w:gridCol w:w="3100"/>
      </w:tblGrid>
      <w:tr>
        <w:tc>
          <w:tcPr>
            <w:tcW w:type="dxa" w:w="6640"/>
            <w:tcBorders>
              <w:top w:val="none" w:color="FFFFFF" w:sz="0"/>
              <w:left w:val="none" w:color="FFFFFF" w:sz="0"/>
              <w:bottom w:val="none" w:color="FFFFFF" w:sz="0"/>
              <w:right w:val="none" w:color="FFFFFF" w:sz="0"/>
            </w:tcBorders>
            <w:tcMar>
              <w:top w:type="dxa" w:w="40"/>
              <w:right w:type="dxa" w:w="200"/>
            </w:tcMar>
          </w:tcPr>
          <w:p>
            <w:pPr>
              <w:spacing w:after="130" w:line="268"/>
            </w:pPr>
            <w:r>
              <w:rPr>
                <w:b w:val="false"/>
                <w:bCs w:val="false"/>
                <w:i w:val="false"/>
                <w:iCs w:val="false"/>
                <w:color w:val="222222"/>
                <w:sz w:val="20"/>
                <w:szCs w:val="20"/>
              </w:rPr>
              <w:t xml:space="preserve">Quartzline Cementitious SL 2–20 NF to zaprawa wyrównująca na bazie cementu do wewnętrznego wyrównywania podłoży betonowych, cementowych i z płytek, w grubościach warstwy od 2 do 20 mm.</w:t>
            </w:r>
          </w:p>
          <w:p>
            <w:pPr>
              <w:spacing w:after="130" w:line="268"/>
            </w:pPr>
            <w:r>
              <w:rPr>
                <w:b w:val="false"/>
                <w:bCs w:val="false"/>
                <w:i w:val="false"/>
                <w:iCs w:val="false"/>
                <w:color w:val="222222"/>
                <w:sz w:val="20"/>
                <w:szCs w:val="20"/>
              </w:rPr>
              <w:t xml:space="preserve">Cementitious SL 2–20 NF charakteryzuje się niskim skurczem i naprężeniami, szybko twardnieje, dobrze się pompuje i daje się dobrze szlifować po utwardzeniu. Nadaje się do stosowania na ogrzewaniu podłogowym i w pomieszczeniach mokrych. Nie nadaje się do podłoży anhydrytowych ani do pomieszczeń przemysłowych.</w:t>
            </w:r>
          </w:p>
        </w:tc>
        <w:tc>
          <w:tcPr>
            <w:tcW w:type="dxa" w:w="3100"/>
            <w:tcBorders>
              <w:top w:val="none" w:color="FFFFFF" w:sz="0"/>
              <w:left w:val="none" w:color="FFFFFF" w:sz="0"/>
              <w:bottom w:val="none" w:color="FFFFFF" w:sz="0"/>
              <w:right w:val="none" w:color="FFFFFF" w:sz="0"/>
            </w:tcBorders>
            <w:vAlign w:val="center"/>
          </w:tcPr>
          <w:p>
            <w:pPr>
              <w:jc w:val="center"/>
            </w:pPr>
            <w:r>
              <w:drawing>
                <wp:inline distT="0" distB="0" distL="0" distR="0">
                  <wp:extent cx="1695450" cy="1695450"/>
                  <wp:effectExtent t="0" r="0" b="0" l="0"/>
                  <wp:docPr id="1" name="product" descr="CEMENTITIOUS SL 2-20 NF" title="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695450" cy="1695450"/>
                          </a:xfrm>
                          <a:prstGeom prst="rect">
                            <a:avLst/>
                          </a:prstGeom>
                        </pic:spPr>
                      </pic:pic>
                    </a:graphicData>
                  </a:graphic>
                </wp:inline>
              </w:drawing>
            </w:r>
          </w:p>
        </w:tc>
      </w:tr>
    </w:tbl>
    <w:p>
      <w:pPr>
        <w:keepNext/>
        <w:pBdr>
          <w:bottom w:val="single" w:color="17A055" w:sz="8" w:space="3"/>
        </w:pBdr>
        <w:spacing w:after="130" w:before="280"/>
      </w:pPr>
      <w:r>
        <w:rPr>
          <w:b/>
          <w:bCs/>
          <w:color w:val="17A055"/>
          <w:sz w:val="22"/>
          <w:szCs w:val="22"/>
        </w:rPr>
        <w:t xml:space="preserve">WŁAŚCIWOŚCI</w:t>
      </w:r>
    </w:p>
    <w:p>
      <w:pPr>
        <w:pStyle w:val="ListParagraph"/>
        <w:numPr>
          <w:ilvl w:val="0"/>
          <w:numId w:val="2"/>
        </w:numPr>
        <w:spacing w:after="60" w:line="264"/>
      </w:pPr>
      <w:r>
        <w:rPr>
          <w:b w:val="false"/>
          <w:bCs w:val="false"/>
          <w:i w:val="false"/>
          <w:iCs w:val="false"/>
          <w:color w:val="222222"/>
          <w:sz w:val="20"/>
          <w:szCs w:val="20"/>
        </w:rPr>
        <w:t xml:space="preserve">Na bazie cementu</w:t>
      </w:r>
    </w:p>
    <w:p>
      <w:pPr>
        <w:pStyle w:val="ListParagraph"/>
        <w:numPr>
          <w:ilvl w:val="0"/>
          <w:numId w:val="2"/>
        </w:numPr>
        <w:spacing w:after="60" w:line="264"/>
      </w:pPr>
      <w:r>
        <w:rPr>
          <w:b w:val="false"/>
          <w:bCs w:val="false"/>
          <w:i w:val="false"/>
          <w:iCs w:val="false"/>
          <w:color w:val="222222"/>
          <w:sz w:val="20"/>
          <w:szCs w:val="20"/>
        </w:rPr>
        <w:t xml:space="preserve">Bezrozpuszczalnikowy</w:t>
      </w:r>
    </w:p>
    <w:p>
      <w:pPr>
        <w:pStyle w:val="ListParagraph"/>
        <w:numPr>
          <w:ilvl w:val="0"/>
          <w:numId w:val="2"/>
        </w:numPr>
        <w:spacing w:after="60" w:line="264"/>
      </w:pPr>
      <w:r>
        <w:rPr>
          <w:b w:val="false"/>
          <w:bCs w:val="false"/>
          <w:i w:val="false"/>
          <w:iCs w:val="false"/>
          <w:color w:val="222222"/>
          <w:sz w:val="20"/>
          <w:szCs w:val="20"/>
        </w:rPr>
        <w:t xml:space="preserve">Modyfikowany polimerami</w:t>
      </w:r>
    </w:p>
    <w:p>
      <w:pPr>
        <w:pStyle w:val="ListParagraph"/>
        <w:numPr>
          <w:ilvl w:val="0"/>
          <w:numId w:val="2"/>
        </w:numPr>
        <w:spacing w:after="60" w:line="264"/>
      </w:pPr>
      <w:r>
        <w:rPr>
          <w:b w:val="false"/>
          <w:bCs w:val="false"/>
          <w:i w:val="false"/>
          <w:iCs w:val="false"/>
          <w:color w:val="222222"/>
          <w:sz w:val="20"/>
          <w:szCs w:val="20"/>
        </w:rPr>
        <w:t xml:space="preserve">Możliwość pompowania</w:t>
      </w:r>
    </w:p>
    <w:p>
      <w:pPr>
        <w:pStyle w:val="ListParagraph"/>
        <w:numPr>
          <w:ilvl w:val="0"/>
          <w:numId w:val="2"/>
        </w:numPr>
        <w:spacing w:after="60" w:line="264"/>
      </w:pPr>
      <w:r>
        <w:rPr>
          <w:b w:val="false"/>
          <w:bCs w:val="false"/>
          <w:i w:val="false"/>
          <w:iCs w:val="false"/>
          <w:color w:val="222222"/>
          <w:sz w:val="20"/>
          <w:szCs w:val="20"/>
        </w:rPr>
        <w:t xml:space="preserve">Odpowiedni do wielu zastosowań</w:t>
      </w:r>
    </w:p>
    <w:p>
      <w:pPr>
        <w:pStyle w:val="ListParagraph"/>
        <w:numPr>
          <w:ilvl w:val="0"/>
          <w:numId w:val="2"/>
        </w:numPr>
        <w:spacing w:after="60" w:line="264"/>
      </w:pPr>
      <w:r>
        <w:rPr>
          <w:b w:val="false"/>
          <w:bCs w:val="false"/>
          <w:i w:val="false"/>
          <w:iCs w:val="false"/>
          <w:color w:val="222222"/>
          <w:sz w:val="20"/>
          <w:szCs w:val="20"/>
        </w:rPr>
        <w:t xml:space="preserve">Odpowiedni do różnych obróbek końcowych</w:t>
      </w:r>
    </w:p>
    <w:p>
      <w:pPr>
        <w:pStyle w:val="ListParagraph"/>
        <w:numPr>
          <w:ilvl w:val="0"/>
          <w:numId w:val="2"/>
        </w:numPr>
        <w:spacing w:after="60" w:line="264"/>
      </w:pPr>
      <w:r>
        <w:rPr>
          <w:b w:val="false"/>
          <w:bCs w:val="false"/>
          <w:i w:val="false"/>
          <w:iCs w:val="false"/>
          <w:color w:val="222222"/>
          <w:sz w:val="20"/>
          <w:szCs w:val="20"/>
        </w:rPr>
        <w:t xml:space="preserve">Szybkie utwardzanie i schnięcie</w:t>
      </w:r>
    </w:p>
    <w:p>
      <w:pPr>
        <w:pStyle w:val="ListParagraph"/>
        <w:numPr>
          <w:ilvl w:val="0"/>
          <w:numId w:val="2"/>
        </w:numPr>
        <w:spacing w:after="60" w:line="264"/>
      </w:pPr>
      <w:r>
        <w:rPr>
          <w:b w:val="false"/>
          <w:bCs w:val="false"/>
          <w:i w:val="false"/>
          <w:iCs w:val="false"/>
          <w:color w:val="222222"/>
          <w:sz w:val="20"/>
          <w:szCs w:val="20"/>
        </w:rPr>
        <w:t xml:space="preserve">Samopoziomujący</w:t>
      </w:r>
    </w:p>
    <w:p>
      <w:pPr>
        <w:keepNext/>
        <w:pBdr>
          <w:bottom w:val="single" w:color="17A055" w:sz="8" w:space="3"/>
        </w:pBdr>
        <w:spacing w:after="130" w:before="280"/>
      </w:pPr>
      <w:r>
        <w:rPr>
          <w:b/>
          <w:bCs/>
          <w:color w:val="17A055"/>
          <w:sz w:val="22"/>
          <w:szCs w:val="22"/>
        </w:rPr>
        <w:t xml:space="preserve">WŁAŚCIWOŚCI TECHNICZNE</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4400"/>
        <w:gridCol w:w="2200"/>
        <w:gridCol w:w="3140"/>
      </w:tblGrid>
      <w:tr>
        <w:trPr>
          <w:tblHeader/>
        </w:trPr>
        <w:tc>
          <w:tcPr>
            <w:tcW w:type="dxa" w:w="4400"/>
            <w:tcBorders>
              <w:top w:val="single" w:color="D9D9D9" w:sz="2"/>
              <w:left w:val="single" w:color="D9D9D9" w:sz="2"/>
              <w:bottom w:val="single" w:color="D9D9D9" w:sz="2"/>
              <w:right w:val="single" w:color="D9D9D9" w:sz="2"/>
            </w:tcBorders>
            <w:shd w:fill="17A055" w:val="clear"/>
            <w:tcMar>
              <w:top w:type="dxa" w:w="70"/>
              <w:left w:type="dxa" w:w="130"/>
              <w:bottom w:type="dxa" w:w="70"/>
              <w:right w:type="dxa" w:w="130"/>
            </w:tcMar>
            <w:vAlign w:val="center"/>
          </w:tcPr>
          <w:p>
            <w:pPr>
              <w:keepNext/>
              <w:spacing w:after="16" w:before="16" w:line="248"/>
            </w:pPr>
            <w:r>
              <w:rPr>
                <w:b/>
                <w:bCs/>
                <w:i w:val="false"/>
                <w:iCs w:val="false"/>
                <w:color w:val="FFFFFF"/>
                <w:sz w:val="20"/>
                <w:szCs w:val="20"/>
              </w:rPr>
              <w:t xml:space="preserve">Właściwość</w:t>
            </w:r>
          </w:p>
        </w:tc>
        <w:tc>
          <w:tcPr>
            <w:tcW w:type="dxa" w:w="2200"/>
            <w:tcBorders>
              <w:top w:val="single" w:color="D9D9D9" w:sz="2"/>
              <w:left w:val="single" w:color="D9D9D9" w:sz="2"/>
              <w:bottom w:val="single" w:color="D9D9D9" w:sz="2"/>
              <w:right w:val="single" w:color="D9D9D9" w:sz="2"/>
            </w:tcBorders>
            <w:shd w:fill="17A055" w:val="clear"/>
            <w:tcMar>
              <w:top w:type="dxa" w:w="70"/>
              <w:left w:type="dxa" w:w="130"/>
              <w:bottom w:type="dxa" w:w="70"/>
              <w:right w:type="dxa" w:w="130"/>
            </w:tcMar>
            <w:vAlign w:val="center"/>
          </w:tcPr>
          <w:p>
            <w:pPr>
              <w:keepNext/>
              <w:spacing w:after="16" w:before="16" w:line="248"/>
            </w:pPr>
            <w:r>
              <w:rPr>
                <w:b/>
                <w:bCs/>
                <w:i w:val="false"/>
                <w:iCs w:val="false"/>
                <w:color w:val="FFFFFF"/>
                <w:sz w:val="20"/>
                <w:szCs w:val="20"/>
              </w:rPr>
              <w:t xml:space="preserve">Jednostka</w:t>
            </w:r>
          </w:p>
        </w:tc>
        <w:tc>
          <w:tcPr>
            <w:tcW w:type="dxa" w:w="3140"/>
            <w:tcBorders>
              <w:top w:val="single" w:color="D9D9D9" w:sz="2"/>
              <w:left w:val="single" w:color="D9D9D9" w:sz="2"/>
              <w:bottom w:val="single" w:color="D9D9D9" w:sz="2"/>
              <w:right w:val="single" w:color="D9D9D9" w:sz="2"/>
            </w:tcBorders>
            <w:shd w:fill="17A055" w:val="clear"/>
            <w:tcMar>
              <w:top w:type="dxa" w:w="70"/>
              <w:left w:type="dxa" w:w="130"/>
              <w:bottom w:type="dxa" w:w="70"/>
              <w:right w:type="dxa" w:w="130"/>
            </w:tcMar>
            <w:vAlign w:val="center"/>
          </w:tcPr>
          <w:p>
            <w:pPr>
              <w:keepNext/>
              <w:spacing w:after="16" w:before="16" w:line="248"/>
            </w:pPr>
            <w:r>
              <w:rPr>
                <w:b/>
                <w:bCs/>
                <w:i w:val="false"/>
                <w:iCs w:val="false"/>
                <w:color w:val="FFFFFF"/>
                <w:sz w:val="20"/>
                <w:szCs w:val="20"/>
              </w:rPr>
              <w:t xml:space="preserve">Wartość</w:t>
            </w:r>
          </w:p>
        </w:tc>
      </w:tr>
      <w:tr>
        <w:trPr>
          <w:cantSplit/>
        </w:trPr>
        <w:tc>
          <w:tcPr>
            <w:tcW w:type="dxa" w:w="440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Gęstość</w:t>
            </w:r>
            <w:r>
              <w:rPr>
                <w:b w:val="false"/>
                <w:bCs w:val="false"/>
                <w:i w:val="false"/>
                <w:iCs w:val="false"/>
                <w:color w:val="222222"/>
                <w:sz w:val="20"/>
                <w:szCs w:val="20"/>
                <w:vertAlign w:val="superscript"/>
              </w:rPr>
              <w:t xml:space="preserve">1</w:t>
            </w:r>
          </w:p>
        </w:tc>
        <w:tc>
          <w:tcPr>
            <w:tcW w:type="dxa" w:w="220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g/cm³</w:t>
            </w:r>
          </w:p>
        </w:tc>
        <w:tc>
          <w:tcPr>
            <w:tcW w:type="dxa" w:w="31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1,6</w:t>
            </w:r>
          </w:p>
        </w:tc>
      </w:tr>
      <w:tr>
        <w:trPr>
          <w:cantSplit/>
        </w:trPr>
        <w:tc>
          <w:tcPr>
            <w:tcW w:type="dxa" w:w="440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Wytrzymałość na ściskanie²</w:t>
            </w:r>
          </w:p>
        </w:tc>
        <w:tc>
          <w:tcPr>
            <w:tcW w:type="dxa" w:w="220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N/mm²</w:t>
            </w:r>
          </w:p>
        </w:tc>
        <w:tc>
          <w:tcPr>
            <w:tcW w:type="dxa" w:w="314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&gt; 40</w:t>
            </w:r>
          </w:p>
        </w:tc>
      </w:tr>
      <w:tr>
        <w:trPr>
          <w:cantSplit/>
        </w:trPr>
        <w:tc>
          <w:tcPr>
            <w:tcW w:type="dxa" w:w="440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Wytrzymałość na zginanie²</w:t>
            </w:r>
          </w:p>
        </w:tc>
        <w:tc>
          <w:tcPr>
            <w:tcW w:type="dxa" w:w="220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N/mm²</w:t>
            </w:r>
          </w:p>
        </w:tc>
        <w:tc>
          <w:tcPr>
            <w:tcW w:type="dxa" w:w="31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&gt; 10</w:t>
            </w:r>
          </w:p>
        </w:tc>
      </w:tr>
    </w:tbl>
    <w:p>
      <w:pPr>
        <w:spacing w:after="60" w:before="60"/>
      </w:pPr>
      <w:r>
        <w:rPr>
          <w:b w:val="false"/>
          <w:bCs w:val="false"/>
          <w:i/>
          <w:iCs/>
          <w:color w:val="6B6B6B"/>
          <w:sz w:val="15"/>
          <w:szCs w:val="15"/>
          <w:vertAlign w:val="superscript"/>
        </w:rPr>
        <w:t xml:space="preserve">1</w:t>
      </w:r>
      <w:r>
        <w:rPr>
          <w:b w:val="false"/>
          <w:bCs w:val="false"/>
          <w:i/>
          <w:iCs/>
          <w:color w:val="6B6B6B"/>
          <w:sz w:val="15"/>
          <w:szCs w:val="15"/>
        </w:rPr>
        <w:t xml:space="preserve"> ISO 2811-1 / +23 °C / 50% R.H    </w:t>
      </w:r>
      <w:r>
        <w:rPr>
          <w:b w:val="false"/>
          <w:bCs w:val="false"/>
          <w:i/>
          <w:iCs/>
          <w:color w:val="6B6B6B"/>
          <w:sz w:val="15"/>
          <w:szCs w:val="15"/>
          <w:vertAlign w:val="superscript"/>
        </w:rPr>
        <w:t xml:space="preserve">2</w:t>
      </w:r>
      <w:r>
        <w:rPr>
          <w:b w:val="false"/>
          <w:bCs w:val="false"/>
          <w:i/>
          <w:iCs/>
          <w:color w:val="6B6B6B"/>
          <w:sz w:val="15"/>
          <w:szCs w:val="15"/>
        </w:rPr>
        <w:t xml:space="preserve"> ISO 196-1 / @ 28 dni / +23 °C / 50% R.H</w:t>
      </w:r>
    </w:p>
    <w:p>
      <w:pPr>
        <w:keepNext/>
        <w:pBdr>
          <w:bottom w:val="single" w:color="17A055" w:sz="8" w:space="3"/>
        </w:pBdr>
        <w:spacing w:after="130" w:before="280"/>
      </w:pPr>
      <w:r>
        <w:rPr>
          <w:b/>
          <w:bCs/>
          <w:color w:val="17A055"/>
          <w:sz w:val="22"/>
          <w:szCs w:val="22"/>
        </w:rPr>
        <w:t xml:space="preserve">WARUNKI APLIKACJI</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3500"/>
        <w:gridCol w:w="6240"/>
      </w:tblGrid>
      <w:tr>
        <w:trPr>
          <w:cantSplit/>
        </w:trPr>
        <w:tc>
          <w:tcPr>
            <w:tcW w:type="dxa" w:w="3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Temperatura podłoża</w:t>
            </w:r>
          </w:p>
        </w:tc>
        <w:tc>
          <w:tcPr>
            <w:tcW w:type="dxa" w:w="62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Minimum 10 °C, maksimum 25 °C</w:t>
            </w:r>
          </w:p>
        </w:tc>
      </w:tr>
      <w:tr>
        <w:trPr>
          <w:cantSplit/>
        </w:trPr>
        <w:tc>
          <w:tcPr>
            <w:tcW w:type="dxa" w:w="3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Temperatura otoczenia</w:t>
            </w:r>
          </w:p>
        </w:tc>
        <w:tc>
          <w:tcPr>
            <w:tcW w:type="dxa" w:w="624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Minimum 10 °C, maksimum 25 °C</w:t>
            </w:r>
          </w:p>
        </w:tc>
      </w:tr>
      <w:tr>
        <w:trPr>
          <w:cantSplit/>
        </w:trPr>
        <w:tc>
          <w:tcPr>
            <w:tcW w:type="dxa" w:w="3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Wilgotność względna</w:t>
            </w:r>
          </w:p>
        </w:tc>
        <w:tc>
          <w:tcPr>
            <w:tcW w:type="dxa" w:w="62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&lt; 75% R.H.</w:t>
            </w:r>
          </w:p>
        </w:tc>
      </w:tr>
      <w:tr>
        <w:trPr>
          <w:cantSplit/>
        </w:trPr>
        <w:tc>
          <w:tcPr>
            <w:tcW w:type="dxa" w:w="3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val="false"/>
              <w:spacing w:after="16" w:before="16" w:line="248"/>
            </w:pPr>
            <w:r>
              <w:rPr>
                <w:b/>
                <w:bCs/>
                <w:i w:val="false"/>
                <w:iCs w:val="false"/>
                <w:color w:val="222222"/>
                <w:sz w:val="20"/>
                <w:szCs w:val="20"/>
              </w:rPr>
              <w:t xml:space="preserve">Punkt rosy</w:t>
            </w:r>
          </w:p>
        </w:tc>
        <w:tc>
          <w:tcPr>
            <w:tcW w:type="dxa" w:w="624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Min. 3 °C powyżej punktu rosy</w:t>
            </w:r>
          </w:p>
        </w:tc>
      </w:tr>
    </w:tbl>
    <w:p>
      <w:pPr>
        <w:spacing w:after="130" w:line="268"/>
      </w:pPr>
      <w:r>
        <w:rPr>
          <w:b w:val="false"/>
          <w:bCs w:val="false"/>
          <w:i w:val="false"/>
          <w:iCs w:val="false"/>
          <w:color w:val="222222"/>
          <w:sz w:val="20"/>
          <w:szCs w:val="20"/>
        </w:rPr>
        <w:t xml:space="preserve">Temperatura podłoża i nieutwardzonego materiału musi wynosić co najmniej 3 °C powyżej punktu rosy, aby zapobiec ryzyku kondensacji, białych wykwitów lub naskórka cementowego na powierzchni zaprawy.</w:t>
      </w:r>
    </w:p>
    <w:p>
      <w:pPr>
        <w:keepNext/>
        <w:pBdr>
          <w:bottom w:val="single" w:color="17A055" w:sz="8" w:space="3"/>
        </w:pBdr>
        <w:spacing w:after="130" w:before="280"/>
      </w:pPr>
      <w:r>
        <w:rPr>
          <w:b/>
          <w:bCs/>
          <w:color w:val="17A055"/>
          <w:sz w:val="22"/>
          <w:szCs w:val="22"/>
        </w:rPr>
        <w:t xml:space="preserve">FORMA DOSTAWY</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3500"/>
        <w:gridCol w:w="3120"/>
        <w:gridCol w:w="3120"/>
      </w:tblGrid>
      <w:tr>
        <w:trPr>
          <w:tblHeader/>
        </w:trPr>
        <w:tc>
          <w:tcPr>
            <w:tcW w:type="dxa" w:w="3500"/>
            <w:tcBorders>
              <w:top w:val="single" w:color="D9D9D9" w:sz="2"/>
              <w:left w:val="single" w:color="D9D9D9" w:sz="2"/>
              <w:bottom w:val="single" w:color="D9D9D9" w:sz="2"/>
              <w:right w:val="single" w:color="D9D9D9" w:sz="2"/>
            </w:tcBorders>
            <w:shd w:fill="17A055" w:val="clear"/>
            <w:tcMar>
              <w:top w:type="dxa" w:w="70"/>
              <w:left w:type="dxa" w:w="130"/>
              <w:bottom w:type="dxa" w:w="70"/>
              <w:right w:type="dxa" w:w="130"/>
            </w:tcMar>
            <w:vAlign w:val="center"/>
          </w:tcPr>
          <w:p>
            <w:pPr>
              <w:keepNext/>
              <w:spacing w:after="16" w:before="16" w:line="248"/>
            </w:pPr>
            <w:r>
              <w:rPr>
                <w:b/>
                <w:bCs/>
                <w:i w:val="false"/>
                <w:iCs w:val="false"/>
                <w:color w:val="FFFFFF"/>
                <w:sz w:val="20"/>
                <w:szCs w:val="20"/>
              </w:rPr>
              <w:t xml:space="preserve">Opakowanie</w:t>
            </w:r>
          </w:p>
        </w:tc>
        <w:tc>
          <w:tcPr>
            <w:tcW w:type="dxa" w:w="3120"/>
            <w:tcBorders>
              <w:top w:val="single" w:color="D9D9D9" w:sz="2"/>
              <w:left w:val="single" w:color="D9D9D9" w:sz="2"/>
              <w:bottom w:val="single" w:color="D9D9D9" w:sz="2"/>
              <w:right w:val="single" w:color="D9D9D9" w:sz="2"/>
            </w:tcBorders>
            <w:shd w:fill="17A055" w:val="clear"/>
            <w:tcMar>
              <w:top w:type="dxa" w:w="70"/>
              <w:left w:type="dxa" w:w="130"/>
              <w:bottom w:type="dxa" w:w="70"/>
              <w:right w:type="dxa" w:w="130"/>
            </w:tcMar>
            <w:vAlign w:val="center"/>
          </w:tcPr>
          <w:p>
            <w:pPr>
              <w:keepNext/>
              <w:spacing w:after="16" w:before="16" w:line="248"/>
            </w:pPr>
            <w:r>
              <w:rPr>
                <w:b/>
                <w:bCs/>
                <w:i w:val="false"/>
                <w:iCs w:val="false"/>
                <w:color w:val="FFFFFF"/>
                <w:sz w:val="20"/>
                <w:szCs w:val="20"/>
              </w:rPr>
              <w:t xml:space="preserve">Konsystencja</w:t>
            </w:r>
          </w:p>
        </w:tc>
        <w:tc>
          <w:tcPr>
            <w:tcW w:type="dxa" w:w="3120"/>
            <w:tcBorders>
              <w:top w:val="single" w:color="D9D9D9" w:sz="2"/>
              <w:left w:val="single" w:color="D9D9D9" w:sz="2"/>
              <w:bottom w:val="single" w:color="D9D9D9" w:sz="2"/>
              <w:right w:val="single" w:color="D9D9D9" w:sz="2"/>
            </w:tcBorders>
            <w:shd w:fill="17A055" w:val="clear"/>
            <w:tcMar>
              <w:top w:type="dxa" w:w="70"/>
              <w:left w:type="dxa" w:w="130"/>
              <w:bottom w:type="dxa" w:w="70"/>
              <w:right w:type="dxa" w:w="130"/>
            </w:tcMar>
            <w:vAlign w:val="center"/>
          </w:tcPr>
          <w:p>
            <w:pPr>
              <w:keepNext/>
              <w:spacing w:after="16" w:before="16" w:line="248"/>
            </w:pPr>
            <w:r>
              <w:rPr>
                <w:b/>
                <w:bCs/>
                <w:i w:val="false"/>
                <w:iCs w:val="false"/>
                <w:color w:val="FFFFFF"/>
                <w:sz w:val="20"/>
                <w:szCs w:val="20"/>
              </w:rPr>
              <w:t xml:space="preserve">Wygląd</w:t>
            </w:r>
          </w:p>
        </w:tc>
      </w:tr>
      <w:tr>
        <w:trPr>
          <w:cantSplit/>
        </w:trPr>
        <w:tc>
          <w:tcPr>
            <w:tcW w:type="dxa" w:w="350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Worek 25 kg</w:t>
            </w:r>
          </w:p>
        </w:tc>
        <w:tc>
          <w:tcPr>
            <w:tcW w:type="dxa" w:w="312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Proszek</w:t>
            </w:r>
          </w:p>
        </w:tc>
        <w:tc>
          <w:tcPr>
            <w:tcW w:type="dxa" w:w="312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Szary</w:t>
            </w:r>
          </w:p>
        </w:tc>
      </w:tr>
    </w:tbl>
    <w:p>
      <w:pPr>
        <w:keepNext/>
        <w:pBdr>
          <w:bottom w:val="single" w:color="17A055" w:sz="8" w:space="3"/>
        </w:pBdr>
        <w:spacing w:after="130" w:before="280"/>
      </w:pPr>
      <w:r>
        <w:rPr>
          <w:b/>
          <w:bCs/>
          <w:color w:val="17A055"/>
          <w:sz w:val="22"/>
          <w:szCs w:val="22"/>
        </w:rPr>
        <w:t xml:space="preserve">PRZECHOWYWANIE I TRWAŁOŚĆ</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3000"/>
        <w:gridCol w:w="6740"/>
      </w:tblGrid>
      <w:tr>
        <w:trPr>
          <w:cantSplit/>
        </w:trPr>
        <w:tc>
          <w:tcPr>
            <w:tcW w:type="dxa" w:w="30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Trwałość</w:t>
            </w:r>
          </w:p>
        </w:tc>
        <w:tc>
          <w:tcPr>
            <w:tcW w:type="dxa" w:w="67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Do 6 miesięcy od daty produkcji</w:t>
            </w:r>
          </w:p>
        </w:tc>
      </w:tr>
      <w:tr>
        <w:trPr>
          <w:cantSplit/>
        </w:trPr>
        <w:tc>
          <w:tcPr>
            <w:tcW w:type="dxa" w:w="30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Opakowanie</w:t>
            </w:r>
          </w:p>
        </w:tc>
        <w:tc>
          <w:tcPr>
            <w:tcW w:type="dxa" w:w="674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Oryginalne, zaplombowane, nieotwarte i nieuszkodzone</w:t>
            </w:r>
          </w:p>
        </w:tc>
      </w:tr>
      <w:tr>
        <w:trPr>
          <w:cantSplit/>
        </w:trPr>
        <w:tc>
          <w:tcPr>
            <w:tcW w:type="dxa" w:w="30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val="false"/>
              <w:spacing w:after="16" w:before="16" w:line="248"/>
            </w:pPr>
            <w:r>
              <w:rPr>
                <w:b/>
                <w:bCs/>
                <w:i w:val="false"/>
                <w:iCs w:val="false"/>
                <w:color w:val="222222"/>
                <w:sz w:val="20"/>
                <w:szCs w:val="20"/>
              </w:rPr>
              <w:t xml:space="preserve">Warunki przechowywania</w:t>
            </w:r>
          </w:p>
        </w:tc>
        <w:tc>
          <w:tcPr>
            <w:tcW w:type="dxa" w:w="67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Sucho, między 5 °C a 30 °C</w:t>
            </w:r>
          </w:p>
        </w:tc>
      </w:tr>
    </w:tbl>
    <w:p>
      <w:pPr>
        <w:keepNext/>
        <w:pBdr>
          <w:bottom w:val="single" w:color="17A055" w:sz="8" w:space="3"/>
        </w:pBdr>
        <w:spacing w:after="130" w:before="280"/>
      </w:pPr>
      <w:r>
        <w:rPr>
          <w:b/>
          <w:bCs/>
          <w:color w:val="17A055"/>
          <w:sz w:val="22"/>
          <w:szCs w:val="22"/>
        </w:rPr>
        <w:t xml:space="preserve">PRZYGOTOWANIE PODŁOŻA</w:t>
      </w:r>
    </w:p>
    <w:p>
      <w:pPr>
        <w:spacing w:after="130" w:line="268"/>
      </w:pPr>
      <w:r>
        <w:rPr>
          <w:b w:val="false"/>
          <w:bCs w:val="false"/>
          <w:i w:val="false"/>
          <w:iCs w:val="false"/>
          <w:color w:val="222222"/>
          <w:sz w:val="20"/>
          <w:szCs w:val="20"/>
        </w:rPr>
        <w:t xml:space="preserve">Podłoże musi być całkowicie utwardzone i konstrukcyjnie w dobrym stanie, wolne od luźnych części, zanieczyszczeń, pęknięć, wycieków mleczka i naskórków węglanu wapnia, o minimalnej nośności 25 N/mm² i minimalnej przyczepności 1,5 N/mm².</w:t>
      </w:r>
    </w:p>
    <w:p>
      <w:pPr>
        <w:spacing w:after="130" w:line="268"/>
      </w:pPr>
      <w:r>
        <w:rPr>
          <w:b w:val="false"/>
          <w:bCs w:val="false"/>
          <w:i w:val="false"/>
          <w:iCs w:val="false"/>
          <w:color w:val="222222"/>
          <w:sz w:val="20"/>
          <w:szCs w:val="20"/>
        </w:rPr>
        <w:t xml:space="preserve">Uzupełnij uszkodzenia powierzchni produktem Quartzline Cementitious MRP lub Alpha MRP, w zależności od rodzaju podłoża.</w:t>
      </w:r>
    </w:p>
    <w:p>
      <w:pPr>
        <w:spacing w:after="130" w:line="268"/>
      </w:pPr>
      <w:r>
        <w:rPr>
          <w:b w:val="false"/>
          <w:bCs w:val="false"/>
          <w:i w:val="false"/>
          <w:iCs w:val="false"/>
          <w:color w:val="222222"/>
          <w:sz w:val="20"/>
          <w:szCs w:val="20"/>
        </w:rPr>
        <w:t xml:space="preserve">Dla podłoży betonowych i cementowych obowiązuje maksymalna wilgotność resztkowa 2,5% CM. Przy wilgotności resztkowej do 6% CM należy nałożyć 2 warstwy bariery przeciwwilgociowej Quartzline Primer DPM, a następnie jedną warstwę Quartzline Primer GP.</w:t>
      </w:r>
    </w:p>
    <w:p>
      <w:pPr>
        <w:spacing w:after="130" w:line="268"/>
      </w:pPr>
      <w:r>
        <w:rPr>
          <w:b w:val="false"/>
          <w:bCs w:val="false"/>
          <w:i w:val="false"/>
          <w:iCs w:val="false"/>
          <w:color w:val="222222"/>
          <w:sz w:val="20"/>
          <w:szCs w:val="20"/>
        </w:rPr>
        <w:t xml:space="preserve">Zawsze stosuj primer. Do podłoży porowatych stosuj Quartzline Primer Universal, a do podłoży zamkniętych Quartzline Primer GP.</w:t>
      </w:r>
    </w:p>
    <w:p>
      <w:pPr>
        <w:spacing w:after="130" w:line="268"/>
      </w:pPr>
      <w:r>
        <w:rPr>
          <w:b w:val="false"/>
          <w:bCs w:val="false"/>
          <w:i w:val="false"/>
          <w:iCs w:val="false"/>
          <w:color w:val="222222"/>
          <w:sz w:val="20"/>
          <w:szCs w:val="20"/>
        </w:rPr>
        <w:t xml:space="preserve">Wyłącz ogrzewanie podłogowe co najmniej 48 godzin przed, w trakcie i po montażu. W przypadku nowych podłóg z ogrzewaniem podłogowym stosuj protokół rozruchu i wychładzania.</w:t>
      </w:r>
    </w:p>
    <w:p>
      <w:pPr>
        <w:keepNext/>
        <w:pBdr>
          <w:bottom w:val="single" w:color="17A055" w:sz="8" w:space="3"/>
        </w:pBdr>
        <w:spacing w:after="130" w:before="280"/>
      </w:pPr>
      <w:r>
        <w:rPr>
          <w:b/>
          <w:bCs/>
          <w:color w:val="17A055"/>
          <w:sz w:val="22"/>
          <w:szCs w:val="22"/>
        </w:rPr>
        <w:t xml:space="preserve">ZUŻYCIE</w:t>
      </w:r>
    </w:p>
    <w:p>
      <w:pPr>
        <w:spacing w:after="130" w:line="268"/>
      </w:pPr>
      <w:r>
        <w:rPr>
          <w:b w:val="false"/>
          <w:bCs w:val="false"/>
          <w:i w:val="false"/>
          <w:iCs w:val="false"/>
          <w:color w:val="222222"/>
          <w:sz w:val="20"/>
          <w:szCs w:val="20"/>
        </w:rPr>
        <w:t xml:space="preserve">Zużycie Cementitious SL 2-20 NF wynosi 1,6 kg/m² proszku na mm grubości warstwy.</w:t>
      </w:r>
    </w:p>
    <w:p>
      <w:pPr>
        <w:keepNext/>
        <w:pBdr>
          <w:bottom w:val="single" w:color="17A055" w:sz="8" w:space="3"/>
        </w:pBdr>
        <w:spacing w:after="130" w:before="280"/>
      </w:pPr>
      <w:r>
        <w:rPr>
          <w:b/>
          <w:bCs/>
          <w:color w:val="17A055"/>
          <w:sz w:val="22"/>
          <w:szCs w:val="22"/>
        </w:rPr>
        <w:t xml:space="preserve">MIESZANIE</w:t>
      </w:r>
    </w:p>
    <w:p>
      <w:pPr>
        <w:spacing w:after="130" w:line="268"/>
      </w:pPr>
      <w:r>
        <w:rPr>
          <w:b w:val="false"/>
          <w:bCs w:val="false"/>
          <w:i w:val="false"/>
          <w:iCs w:val="false"/>
          <w:color w:val="222222"/>
          <w:sz w:val="20"/>
          <w:szCs w:val="20"/>
        </w:rPr>
        <w:t xml:space="preserve">6 litrów wody na worek 25 kilogramów proszku.</w:t>
      </w:r>
    </w:p>
    <w:p>
      <w:pPr>
        <w:spacing w:after="130" w:line="268"/>
      </w:pPr>
      <w:r>
        <w:rPr>
          <w:b w:val="false"/>
          <w:bCs w:val="false"/>
          <w:i w:val="false"/>
          <w:iCs w:val="false"/>
          <w:color w:val="222222"/>
          <w:sz w:val="20"/>
          <w:szCs w:val="20"/>
        </w:rPr>
        <w:t xml:space="preserve">Odmierz 6 litrów wody do czystego wiadra za pomocą dozownika wody Collomix AQiX lub wagi. Dodaj jeden worek Cementitious SL 2–20 NF i mieszaj przez trzy minuty mieszadłem koszowym Quartzline DLX152 do uzyskania jednorodnej masy.</w:t>
      </w:r>
    </w:p>
    <w:p>
      <w:pPr>
        <w:keepNext/>
        <w:pBdr>
          <w:bottom w:val="single" w:color="17A055" w:sz="8" w:space="3"/>
        </w:pBdr>
        <w:spacing w:after="130" w:before="280"/>
      </w:pPr>
      <w:r>
        <w:rPr>
          <w:b/>
          <w:bCs/>
          <w:color w:val="17A055"/>
          <w:sz w:val="22"/>
          <w:szCs w:val="22"/>
        </w:rPr>
        <w:t xml:space="preserve">APLIKACJA</w:t>
      </w:r>
    </w:p>
    <w:p>
      <w:pPr>
        <w:spacing w:after="130" w:line="268"/>
      </w:pPr>
      <w:r>
        <w:rPr>
          <w:b w:val="false"/>
          <w:bCs w:val="false"/>
          <w:i w:val="false"/>
          <w:iCs w:val="false"/>
          <w:color w:val="222222"/>
          <w:sz w:val="20"/>
          <w:szCs w:val="20"/>
        </w:rPr>
        <w:t xml:space="preserve">Wylej zaprawę wyrównującą na zagruntowane podłoże i rozprowadź ją pacą, raklą zębatą lub gładką klingą, aż do uzyskania żądanej grubości warstwy.</w:t>
      </w:r>
    </w:p>
    <w:p>
      <w:pPr>
        <w:keepNext/>
        <w:pBdr>
          <w:bottom w:val="single" w:color="17A055" w:sz="8" w:space="3"/>
        </w:pBdr>
        <w:spacing w:after="130" w:before="280"/>
      </w:pPr>
      <w:r>
        <w:rPr>
          <w:b/>
          <w:bCs/>
          <w:color w:val="17A055"/>
          <w:sz w:val="22"/>
          <w:szCs w:val="22"/>
        </w:rPr>
        <w:t xml:space="preserve">CZAS UTWARDZANIA</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5500"/>
        <w:gridCol w:w="4240"/>
      </w:tblGrid>
      <w:tr>
        <w:trPr>
          <w:cantSplit/>
        </w:trPr>
        <w:tc>
          <w:tcPr>
            <w:tcW w:type="dxa" w:w="5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Czas obróbki</w:t>
            </w:r>
          </w:p>
        </w:tc>
        <w:tc>
          <w:tcPr>
            <w:tcW w:type="dxa" w:w="42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ok. 30 min</w:t>
            </w:r>
          </w:p>
        </w:tc>
      </w:tr>
      <w:tr>
        <w:trPr>
          <w:cantSplit/>
        </w:trPr>
        <w:tc>
          <w:tcPr>
            <w:tcW w:type="dxa" w:w="5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spacing w:after="16" w:before="16" w:line="248"/>
            </w:pPr>
            <w:r>
              <w:rPr>
                <w:b/>
                <w:bCs/>
                <w:i w:val="false"/>
                <w:iCs w:val="false"/>
                <w:color w:val="222222"/>
                <w:sz w:val="20"/>
                <w:szCs w:val="20"/>
              </w:rPr>
              <w:t xml:space="preserve">Możliwość chodzenia</w:t>
            </w:r>
          </w:p>
        </w:tc>
        <w:tc>
          <w:tcPr>
            <w:tcW w:type="dxa" w:w="4240"/>
            <w:tcBorders>
              <w:top w:val="single" w:color="D9D9D9" w:sz="2"/>
              <w:left w:val="single" w:color="D9D9D9" w:sz="2"/>
              <w:bottom w:val="single" w:color="D9D9D9" w:sz="2"/>
              <w:right w:val="single" w:color="D9D9D9" w:sz="2"/>
            </w:tcBorders>
            <w:shd w:fill="FFFFFF" w:val="clear"/>
            <w:tcMar>
              <w:top w:type="dxa" w:w="60"/>
              <w:left w:type="dxa" w:w="130"/>
              <w:bottom w:type="dxa" w:w="60"/>
              <w:right w:type="dxa" w:w="130"/>
            </w:tcMar>
            <w:vAlign w:val="center"/>
          </w:tcPr>
          <w:p>
            <w:pPr>
              <w:keepNext/>
              <w:spacing w:after="16" w:before="16" w:line="248"/>
            </w:pPr>
            <w:r>
              <w:rPr>
                <w:b w:val="false"/>
                <w:bCs w:val="false"/>
                <w:i w:val="false"/>
                <w:iCs w:val="false"/>
                <w:color w:val="222222"/>
                <w:sz w:val="20"/>
                <w:szCs w:val="20"/>
              </w:rPr>
              <w:t xml:space="preserve">ok. 3 godziny</w:t>
            </w:r>
          </w:p>
        </w:tc>
      </w:tr>
      <w:tr>
        <w:trPr>
          <w:cantSplit/>
        </w:trPr>
        <w:tc>
          <w:tcPr>
            <w:tcW w:type="dxa" w:w="5500"/>
            <w:tcBorders>
              <w:top w:val="single" w:color="D9D9D9" w:sz="2"/>
              <w:left w:val="single" w:color="D9D9D9" w:sz="2"/>
              <w:bottom w:val="single" w:color="D9D9D9" w:sz="2"/>
              <w:right w:val="single" w:color="D9D9D9" w:sz="2"/>
            </w:tcBorders>
            <w:shd w:fill="EAF6EF" w:val="clear"/>
            <w:tcMar>
              <w:top w:type="dxa" w:w="60"/>
              <w:left w:type="dxa" w:w="130"/>
              <w:bottom w:type="dxa" w:w="60"/>
              <w:right w:type="dxa" w:w="130"/>
            </w:tcMar>
            <w:vAlign w:val="center"/>
          </w:tcPr>
          <w:p>
            <w:pPr>
              <w:keepNext w:val="false"/>
              <w:spacing w:after="16" w:before="16" w:line="248"/>
            </w:pPr>
            <w:r>
              <w:rPr>
                <w:b/>
                <w:bCs/>
                <w:i w:val="false"/>
                <w:iCs w:val="false"/>
                <w:color w:val="222222"/>
                <w:sz w:val="20"/>
                <w:szCs w:val="20"/>
              </w:rPr>
              <w:t xml:space="preserve">Gotowe pod okładziny (przy 3 mm)</w:t>
            </w:r>
          </w:p>
        </w:tc>
        <w:tc>
          <w:tcPr>
            <w:tcW w:type="dxa" w:w="4240"/>
            <w:tcBorders>
              <w:top w:val="single" w:color="D9D9D9" w:sz="2"/>
              <w:left w:val="single" w:color="D9D9D9" w:sz="2"/>
              <w:bottom w:val="single" w:color="D9D9D9" w:sz="2"/>
              <w:right w:val="single" w:color="D9D9D9" w:sz="2"/>
            </w:tcBorders>
            <w:shd w:fill="F7FBF8" w:val="clear"/>
            <w:tcMar>
              <w:top w:type="dxa" w:w="60"/>
              <w:left w:type="dxa" w:w="130"/>
              <w:bottom w:type="dxa" w:w="60"/>
              <w:right w:type="dxa" w:w="130"/>
            </w:tcMar>
            <w:vAlign w:val="center"/>
          </w:tcPr>
          <w:p>
            <w:pPr>
              <w:keepNext w:val="false"/>
              <w:spacing w:after="16" w:before="16" w:line="248"/>
            </w:pPr>
            <w:r>
              <w:rPr>
                <w:b w:val="false"/>
                <w:bCs w:val="false"/>
                <w:i w:val="false"/>
                <w:iCs w:val="false"/>
                <w:color w:val="222222"/>
                <w:sz w:val="20"/>
                <w:szCs w:val="20"/>
              </w:rPr>
              <w:t xml:space="preserve">ok. 24 godziny</w:t>
            </w:r>
          </w:p>
        </w:tc>
      </w:tr>
    </w:tbl>
    <w:p>
      <w:pPr>
        <w:spacing w:after="60" w:before="60"/>
      </w:pPr>
      <w:r>
        <w:rPr>
          <w:b w:val="false"/>
          <w:bCs w:val="false"/>
          <w:i/>
          <w:iCs/>
          <w:color w:val="6B6B6B"/>
          <w:sz w:val="15"/>
          <w:szCs w:val="15"/>
        </w:rPr>
        <w:t xml:space="preserve">Podane czasy obowiązują w normalnych warunkach przy 20 °C i w dużym stopniu zależą od grubości nałożonej warstwy. Wyższe temperatury mogą skrócić te czasy, a niższe je wydłużyć.</w:t>
      </w:r>
    </w:p>
    <w:p>
      <w:pPr>
        <w:keepNext/>
        <w:pBdr>
          <w:bottom w:val="single" w:color="17A055" w:sz="8" w:space="3"/>
        </w:pBdr>
        <w:spacing w:after="130" w:before="280"/>
      </w:pPr>
      <w:r>
        <w:rPr>
          <w:b/>
          <w:bCs/>
          <w:color w:val="17A055"/>
          <w:sz w:val="22"/>
          <w:szCs w:val="22"/>
        </w:rPr>
        <w:t xml:space="preserve">UWAGI</w:t>
      </w:r>
    </w:p>
    <w:p>
      <w:pPr>
        <w:pStyle w:val="ListParagraph"/>
        <w:numPr>
          <w:ilvl w:val="0"/>
          <w:numId w:val="2"/>
        </w:numPr>
        <w:spacing w:after="60" w:line="264"/>
      </w:pPr>
      <w:r>
        <w:rPr>
          <w:b w:val="false"/>
          <w:bCs w:val="false"/>
          <w:i w:val="false"/>
          <w:iCs w:val="false"/>
          <w:color w:val="222222"/>
          <w:sz w:val="20"/>
          <w:szCs w:val="20"/>
        </w:rPr>
        <w:t xml:space="preserve">Nie mieszać z innymi produktami podłogowymi.</w:t>
      </w:r>
    </w:p>
    <w:p>
      <w:pPr>
        <w:pStyle w:val="ListParagraph"/>
        <w:numPr>
          <w:ilvl w:val="0"/>
          <w:numId w:val="2"/>
        </w:numPr>
        <w:spacing w:after="60" w:line="264"/>
      </w:pPr>
      <w:r>
        <w:rPr>
          <w:b w:val="false"/>
          <w:bCs w:val="false"/>
          <w:i w:val="false"/>
          <w:iCs w:val="false"/>
          <w:color w:val="222222"/>
          <w:sz w:val="20"/>
          <w:szCs w:val="20"/>
        </w:rPr>
        <w:t xml:space="preserve">Wykończ podłogę w ciągu 7 dni, aby zapobiec powstawaniu pęknięć.</w:t>
      </w:r>
    </w:p>
    <w:p>
      <w:pPr>
        <w:pStyle w:val="ListParagraph"/>
        <w:numPr>
          <w:ilvl w:val="0"/>
          <w:numId w:val="2"/>
        </w:numPr>
        <w:spacing w:after="60" w:line="264"/>
      </w:pPr>
      <w:r>
        <w:rPr>
          <w:b w:val="false"/>
          <w:bCs w:val="false"/>
          <w:i w:val="false"/>
          <w:iCs w:val="false"/>
          <w:color w:val="222222"/>
          <w:sz w:val="20"/>
          <w:szCs w:val="20"/>
        </w:rPr>
        <w:t xml:space="preserve">Podłoże musi być dobrze zagruntowane, aby woda pozostała dostępna dla zaprawy wyrównującej.</w:t>
      </w:r>
    </w:p>
    <w:p>
      <w:pPr>
        <w:pStyle w:val="ListParagraph"/>
        <w:numPr>
          <w:ilvl w:val="0"/>
          <w:numId w:val="2"/>
        </w:numPr>
        <w:spacing w:after="60" w:line="264"/>
      </w:pPr>
      <w:r>
        <w:rPr>
          <w:b w:val="false"/>
          <w:bCs w:val="false"/>
          <w:i w:val="false"/>
          <w:iCs w:val="false"/>
          <w:color w:val="222222"/>
          <w:sz w:val="20"/>
          <w:szCs w:val="20"/>
        </w:rPr>
        <w:t xml:space="preserve">Chroń świeżo nałożony Cementitious SL 2-20 NF przed wilgocią, światłem słonecznym i przeciągami przez co najmniej 24 godziny.</w:t>
      </w:r>
    </w:p>
    <w:p>
      <w:pPr>
        <w:pStyle w:val="ListParagraph"/>
        <w:numPr>
          <w:ilvl w:val="0"/>
          <w:numId w:val="2"/>
        </w:numPr>
        <w:spacing w:after="60" w:line="264"/>
      </w:pPr>
      <w:r>
        <w:rPr>
          <w:b w:val="false"/>
          <w:bCs w:val="false"/>
          <w:i w:val="false"/>
          <w:iCs w:val="false"/>
          <w:color w:val="222222"/>
          <w:sz w:val="20"/>
          <w:szCs w:val="20"/>
        </w:rPr>
        <w:t xml:space="preserve">Nie dodawaj więcej wody, gdy produkt zaczyna reagować.</w:t>
      </w:r>
    </w:p>
    <w:p>
      <w:pPr>
        <w:pStyle w:val="ListParagraph"/>
        <w:numPr>
          <w:ilvl w:val="0"/>
          <w:numId w:val="2"/>
        </w:numPr>
        <w:spacing w:after="60" w:line="264"/>
      </w:pPr>
      <w:r>
        <w:rPr>
          <w:b w:val="false"/>
          <w:bCs w:val="false"/>
          <w:i w:val="false"/>
          <w:iCs w:val="false"/>
          <w:color w:val="222222"/>
          <w:sz w:val="20"/>
          <w:szCs w:val="20"/>
        </w:rPr>
        <w:t xml:space="preserve">Cementitious SL 2-20 NF można nakładać w pomieszczeniach wilgotnych.</w:t>
      </w:r>
    </w:p>
    <w:p>
      <w:pPr>
        <w:pStyle w:val="ListParagraph"/>
        <w:numPr>
          <w:ilvl w:val="0"/>
          <w:numId w:val="2"/>
        </w:numPr>
        <w:spacing w:after="60" w:line="264"/>
      </w:pPr>
      <w:r>
        <w:rPr>
          <w:b w:val="false"/>
          <w:bCs w:val="false"/>
          <w:i w:val="false"/>
          <w:iCs w:val="false"/>
          <w:color w:val="222222"/>
          <w:sz w:val="20"/>
          <w:szCs w:val="20"/>
        </w:rPr>
        <w:t xml:space="preserve">Po utwardzeniu przeszlifuj Cementitious SL 2–20 NF siatką ścierną (gradacja 180) przed nałożeniem kolejnej warstwy wykończeniowej.</w:t>
      </w:r>
    </w:p>
    <w:p>
      <w:pPr>
        <w:keepNext/>
        <w:pBdr>
          <w:bottom w:val="single" w:color="17A055" w:sz="8" w:space="3"/>
        </w:pBdr>
        <w:spacing w:after="130" w:before="280"/>
      </w:pPr>
      <w:r>
        <w:rPr>
          <w:b/>
          <w:bCs/>
          <w:color w:val="17A055"/>
          <w:sz w:val="22"/>
          <w:szCs w:val="22"/>
        </w:rPr>
        <w:t xml:space="preserve">PODSTAWA WARTOŚCI</w:t>
      </w:r>
    </w:p>
    <w:p>
      <w:pPr>
        <w:spacing w:after="130" w:line="268"/>
      </w:pPr>
      <w:r>
        <w:rPr>
          <w:b w:val="false"/>
          <w:bCs w:val="false"/>
          <w:i w:val="false"/>
          <w:iCs w:val="false"/>
          <w:color w:val="222222"/>
          <w:sz w:val="18"/>
          <w:szCs w:val="18"/>
        </w:rPr>
        <w:t xml:space="preserve">Wszystkie dane techniczne w tej karcie technicznej opierają się na badaniach laboratoryjnych. Dane mogą się zmieniać w zależności od warunków.</w:t>
      </w:r>
    </w:p>
    <w:p>
      <w:pPr>
        <w:keepNext/>
        <w:pBdr>
          <w:bottom w:val="single" w:color="17A055" w:sz="8" w:space="3"/>
        </w:pBdr>
        <w:spacing w:after="130" w:before="280"/>
      </w:pPr>
      <w:r>
        <w:rPr>
          <w:b/>
          <w:bCs/>
          <w:color w:val="17A055"/>
          <w:sz w:val="22"/>
          <w:szCs w:val="22"/>
        </w:rPr>
        <w:t xml:space="preserve">ZDROWIE I BEZPIECZEŃSTWO</w:t>
      </w:r>
    </w:p>
    <w:p>
      <w:pPr>
        <w:spacing w:after="130" w:line="268"/>
      </w:pPr>
      <w:r>
        <w:rPr>
          <w:b w:val="false"/>
          <w:bCs w:val="false"/>
          <w:i w:val="false"/>
          <w:iCs w:val="false"/>
          <w:color w:val="222222"/>
          <w:sz w:val="18"/>
          <w:szCs w:val="18"/>
        </w:rPr>
        <w:t xml:space="preserve">W celu uzyskania informacji i porad dotyczących bezpiecznego obchodzenia się z produktami chemicznymi, ich przechowywania i utylizacji, użytkownik powinien zapoznać się z najnowszą kartą charakterystyki (SDS) dotyczącą danych fizycznych, ekologicznych, toksykologicznych i innych związanych z bezpieczeństwem.</w:t>
      </w:r>
    </w:p>
    <w:p>
      <w:pPr>
        <w:keepNext/>
        <w:pBdr>
          <w:bottom w:val="single" w:color="17A055" w:sz="8" w:space="3"/>
        </w:pBdr>
        <w:spacing w:after="130" w:before="280"/>
      </w:pPr>
      <w:r>
        <w:rPr>
          <w:b/>
          <w:bCs/>
          <w:color w:val="17A055"/>
          <w:sz w:val="22"/>
          <w:szCs w:val="22"/>
        </w:rPr>
        <w:t xml:space="preserve">INFORMACJA PRAWNA</w:t>
      </w:r>
    </w:p>
    <w:p>
      <w:pPr>
        <w:spacing w:after="130" w:line="268"/>
      </w:pPr>
      <w:r>
        <w:rPr>
          <w:b w:val="false"/>
          <w:bCs w:val="false"/>
          <w:i w:val="false"/>
          <w:iCs w:val="false"/>
          <w:color w:val="222222"/>
          <w:sz w:val="18"/>
          <w:szCs w:val="18"/>
        </w:rPr>
        <w:t xml:space="preserve">Podane informacje i zalecenia opierają się na aktualnej wiedzy i doświadczeniu firmy Quartzline przy prawidłowym stosowaniu w normalnych warunkach. Ze względu na różnice w materiałach, podłożach i warunkach nie można przyjąć żadnej gwarancji ani odpowiedzialności za przydatność lub zastosowanie. Quartzline zastrzega sobie prawo do zmiany właściwości produktu. Należy przestrzegać praw własności osób trzecich. Wszystkie dostawy podlegają obowiązującym ogólnym warunkom sprzedaży i dostawy.</w:t>
      </w:r>
    </w:p>
    <w:sectPr>
      <w:headerReference w:type="default" r:id="rId7"/>
      <w:footerReference w:type="default" r:id="rId8"/>
      <w:pgSz w:w="11906" w:h="16838" w:orient="portrait"/>
      <w:pgMar w:top="1500" w:right="1083" w:bottom="1300" w:left="1083" w:header="720" w:footer="5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17A055" w:sz="6" w:space="2"/>
      </w:pBdr>
      <w:spacing w:after="60"/>
    </w:pPr>
  </w:p>
  <w:tbl>
    <w:tblPr>
      <w:tblW w:type="dxa" w:w="9740"/>
      <w:tblBorders>
        <w:top w:val="none" w:color="FFFFFF" w:sz="0"/>
        <w:left w:val="none" w:color="FFFFFF" w:sz="0"/>
        <w:bottom w:val="none" w:color="FFFFFF" w:sz="0"/>
        <w:right w:val="none" w:color="FFFFFF" w:sz="0"/>
        <w:insideH w:val="single" w:color="auto" w:sz="4"/>
        <w:insideV w:val="single" w:color="auto" w:sz="4"/>
      </w:tblBorders>
    </w:tblPr>
    <w:tblGrid>
      <w:gridCol w:w="1650"/>
      <w:gridCol w:w="8090"/>
    </w:tblGrid>
    <w:tr>
      <w:tc>
        <w:tcPr>
          <w:tcW w:type="dxa" w:w="1650"/>
          <w:tcBorders>
            <w:top w:val="none" w:color="FFFFFF" w:sz="0"/>
            <w:left w:val="none" w:color="FFFFFF" w:sz="0"/>
            <w:bottom w:val="none" w:color="FFFFFF" w:sz="0"/>
            <w:right w:val="none" w:color="FFFFFF" w:sz="0"/>
          </w:tcBorders>
          <w:tcMar>
            <w:top w:type="dxa" w:w="40"/>
            <w:left w:type="dxa" w:w="0"/>
            <w:bottom w:type="dxa" w:w="60"/>
            <w:right w:type="dxa" w:w="0"/>
          </w:tcMar>
          <w:vAlign w:val="center"/>
        </w:tcPr>
        <w:p>
          <w:pPr>
            <w:spacing w:after="0" w:before="0" w:line="480" w:lineRule="atLeast"/>
            <w:jc w:val="left"/>
          </w:pPr>
          <w:r>
            <w:drawing>
              <wp:inline distT="0" distB="0" distL="0" distR="0">
                <wp:extent cx="1066800" cy="266700"/>
                <wp:effectExtent t="0" r="0" b="0" l="0"/>
                <wp:docPr id="1" name="logo" descr="logo" title="Quartz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266700"/>
                        </a:xfrm>
                        <a:prstGeom prst="rect">
                          <a:avLst/>
                        </a:prstGeom>
                      </pic:spPr>
                    </pic:pic>
                  </a:graphicData>
                </a:graphic>
              </wp:inline>
            </w:drawing>
          </w:r>
        </w:p>
      </w:tc>
      <w:tc>
        <w:tcPr>
          <w:tcW w:type="dxa" w:w="8090"/>
          <w:tcBorders>
            <w:top w:val="none" w:color="FFFFFF" w:sz="0"/>
            <w:left w:val="none" w:color="FFFFFF" w:sz="0"/>
            <w:bottom w:val="none" w:color="FFFFFF" w:sz="0"/>
            <w:right w:val="none" w:color="FFFFFF" w:sz="0"/>
          </w:tcBorders>
          <w:vAlign w:val="center"/>
        </w:tcPr>
        <w:p>
          <w:pPr>
            <w:spacing w:after="0" w:before="0"/>
            <w:jc w:val="right"/>
          </w:pPr>
          <w:r>
            <w:rPr>
              <w:b w:val="false"/>
              <w:bCs w:val="false"/>
              <w:color w:val="6B6B6B"/>
              <w:sz w:val="15"/>
              <w:szCs w:val="15"/>
            </w:rPr>
            <w:t xml:space="preserve">Tymiankowa 37/39, 95-054 Ksawerów, Poland</w:t>
          </w:r>
          <w:r>
            <w:rPr>
              <w:color w:val="D9D9D9"/>
              <w:sz w:val="15"/>
              <w:szCs w:val="15"/>
            </w:rPr>
            <w:t xml:space="preserve">  ·  </w:t>
          </w:r>
          <w:r>
            <w:rPr>
              <w:b w:val="false"/>
              <w:bCs w:val="false"/>
              <w:color w:val="6B6B6B"/>
              <w:sz w:val="15"/>
              <w:szCs w:val="15"/>
            </w:rPr>
            <w:t xml:space="preserve">+48 609 222 050</w:t>
          </w:r>
          <w:r>
            <w:rPr>
              <w:color w:val="D9D9D9"/>
              <w:sz w:val="15"/>
              <w:szCs w:val="15"/>
            </w:rPr>
            <w:t xml:space="preserve">  ·  </w:t>
          </w:r>
          <w:r>
            <w:rPr>
              <w:b w:val="false"/>
              <w:bCs w:val="false"/>
              <w:color w:val="6B6B6B"/>
              <w:sz w:val="15"/>
              <w:szCs w:val="15"/>
            </w:rPr>
            <w:t xml:space="preserve">info@quartzline.pl</w:t>
          </w:r>
          <w:r>
            <w:rPr>
              <w:color w:val="D9D9D9"/>
              <w:sz w:val="15"/>
              <w:szCs w:val="15"/>
            </w:rPr>
            <w:t xml:space="preserve">  ·  </w:t>
          </w:r>
          <w:r>
            <w:rPr>
              <w:b/>
              <w:bCs/>
              <w:color w:val="222222"/>
              <w:sz w:val="15"/>
              <w:szCs w:val="15"/>
            </w:rPr>
            <w:t xml:space="preserve">www.quartzline.pl</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7A055" w:sz="6" w:space="4"/>
      </w:pBdr>
      <w:tabs>
        <w:tab w:val="right" w:pos="9740"/>
      </w:tabs>
      <w:spacing w:after="60"/>
    </w:pPr>
    <w:r>
      <w:rPr>
        <w:b/>
        <w:bCs/>
        <w:color w:val="222222"/>
        <w:sz w:val="18"/>
        <w:szCs w:val="18"/>
      </w:rPr>
      <w:t xml:space="preserve">KARTA TECHNICZNA</w:t>
    </w:r>
    <w:r>
      <w:rPr>
        <w:color w:val="6B6B6B"/>
        <w:sz w:val="16"/>
        <w:szCs w:val="16"/>
      </w:rPr>
      <w:t xml:space="preserve">	Wydanie 2.0   ·   8 czerwca 2026   ·   Oznaczenie: TDS03CUNF22023   ·   Strona </w:t>
    </w:r>
    <w:r>
      <w:rPr>
        <w:color w:val="6B6B6B"/>
        <w:sz w:val="16"/>
        <w:szCs w:val="16"/>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17A055"/>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094f660c4c18f871fa563c35373caf9bf7156a3.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9312f4710dac0231e17aa03443bebc542812480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2026-06-17T07:54:21.522Z</dcterms:created>
  <dcterms:modified xsi:type="dcterms:W3CDTF">2026-06-17T07:54:21.522Z</dcterms:modified>
</cp:coreProperties>
</file>

<file path=docProps/custom.xml><?xml version="1.0" encoding="utf-8"?>
<Properties xmlns="http://schemas.openxmlformats.org/officeDocument/2006/custom-properties" xmlns:vt="http://schemas.openxmlformats.org/officeDocument/2006/docPropsVTypes"/>
</file>